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</w:t>
      </w:r>
      <w:r w:rsidR="00144A50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7662B5">
        <w:rPr>
          <w:rFonts w:ascii="Kokila" w:hAnsi="Kokila" w:cs="Kalimati" w:hint="cs"/>
          <w:b/>
          <w:bCs/>
          <w:sz w:val="24"/>
          <w:szCs w:val="24"/>
          <w:cs/>
        </w:rPr>
        <w:t>याम कुमार कार्की</w:t>
      </w:r>
      <w:bookmarkStart w:id="0" w:name="_GoBack"/>
      <w:bookmarkEnd w:id="0"/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7662B5">
        <w:rPr>
          <w:rFonts w:ascii="Kokila" w:hAnsi="Kokila" w:cs="Kalimati" w:hint="cs"/>
          <w:b/>
          <w:bCs/>
          <w:sz w:val="24"/>
          <w:szCs w:val="24"/>
          <w:cs/>
        </w:rPr>
        <w:t>गैरकानूनी सम्पत्ति आर्जन गरी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7662B5">
        <w:rPr>
          <w:rFonts w:ascii="Kokila" w:hAnsi="Kokila" w:cs="Kalimati"/>
          <w:b/>
          <w:bCs/>
          <w:sz w:val="24"/>
          <w:szCs w:val="24"/>
          <w:cs/>
        </w:rPr>
        <w:t>फैसलाउपर आयोगलाई चित्त नबुझी सम्मानित सर्वोच्च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7662B5" w:rsidRPr="0004362B" w:rsidRDefault="007662B5" w:rsidP="007662B5">
      <w:pPr>
        <w:pStyle w:val="ListParagraph"/>
        <w:spacing w:line="240" w:lineRule="auto"/>
        <w:ind w:left="0" w:firstLine="720"/>
        <w:jc w:val="both"/>
        <w:rPr>
          <w:rFonts w:ascii="Kokila" w:eastAsia="Times New Roman" w:hAnsi="Kokila" w:cs="Kalimati"/>
          <w:color w:val="0D0D0D"/>
          <w:sz w:val="24"/>
          <w:szCs w:val="24"/>
        </w:rPr>
      </w:pPr>
      <w:r w:rsidRPr="0004362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04362B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वागमतीनगर जग्गा एकिकरण आयोजनामा कार्यरत शाखा अधिकृत</w:t>
      </w:r>
      <w:r w:rsidRPr="0004362B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 </w:t>
      </w:r>
      <w:r w:rsidRPr="0004362B">
        <w:rPr>
          <w:rFonts w:eastAsia="Times New Roman" w:cs="Kalimati" w:hint="cs"/>
          <w:sz w:val="24"/>
          <w:szCs w:val="24"/>
          <w:cs/>
        </w:rPr>
        <w:t>याम कुमार कार्की उपर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04362B">
        <w:rPr>
          <w:rFonts w:eastAsia="Times New Roman" w:cs="Kalimati" w:hint="cs"/>
          <w:sz w:val="24"/>
          <w:szCs w:val="24"/>
          <w:cs/>
        </w:rPr>
        <w:t xml:space="preserve">गैरकानूनी रुपमा सम्पत्ति आर्जन गरी भ्रष्टाचार गरेकोले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साबिक भ्रष्टाचार निवारण ऐन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२०१७ को दफा १५ र प्रचलित भ्रष्टाचार निवारण ऐन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(१) बमोजिमको कसूरमा बिगो रु</w:t>
      </w:r>
      <w:r w:rsidRPr="0004362B">
        <w:rPr>
          <w:rFonts w:ascii="Calibri" w:eastAsia="Times New Roman" w:hAnsi="Calibri" w:cs="Kalimati" w:hint="cs"/>
          <w:sz w:val="24"/>
          <w:szCs w:val="24"/>
          <w:rtl/>
          <w:lang w:bidi="ar-SA"/>
        </w:rPr>
        <w:t>.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३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२१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३२</w:t>
      </w:r>
      <w:r w:rsidRPr="0004362B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९५६।७५ कायम गरी साबिक भ्रष्टाचार निवारण ऐन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2017 को दफा १५ मा उल्लेख भए बमोजिम सोही ऐनको दफा 3 एवं प्रचलित भ्रष्टाचार निवारण ऐन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(२)</w:t>
      </w:r>
      <w:r w:rsidRPr="0004362B">
        <w:rPr>
          <w:rFonts w:eastAsia="Times New Roman" w:cs="Kalimati" w:hint="cs"/>
          <w:sz w:val="24"/>
          <w:szCs w:val="24"/>
          <w:cs/>
        </w:rPr>
        <w:t xml:space="preserve"> बमोजिम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 xml:space="preserve"> सजाय हुन साथै साबिक भ्रष्टाचार निवारण ऐन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2017 को दफा ३</w:t>
      </w:r>
      <w:r w:rsidRPr="0004362B">
        <w:rPr>
          <w:rFonts w:ascii="Calibri" w:eastAsia="Times New Roman" w:hAnsi="Calibri" w:cs="Kalimati" w:hint="cs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१६(ग)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दफा २९ को उपदफा (१) तथा प्रचलित भ्रष्टाचार निवारण ऐन</w:t>
      </w:r>
      <w:r w:rsidRPr="0004362B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२०५९ को दफा २०(२)</w:t>
      </w:r>
      <w:r w:rsidRPr="0004362B">
        <w:rPr>
          <w:rFonts w:ascii="Calibri" w:eastAsia="Times New Roman" w:hAnsi="Calibri" w:cs="Kalimati" w:hint="cs"/>
          <w:sz w:val="24"/>
          <w:szCs w:val="24"/>
          <w:lang w:val="pl-PL"/>
        </w:rPr>
        <w:t xml:space="preserve">, 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दफा ४७ र प्रचलित अख्तियार दुरुपयोग अनुसन्धान आयोग ऐन</w:t>
      </w:r>
      <w:r w:rsidRPr="0004362B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04362B">
        <w:rPr>
          <w:rFonts w:ascii="Calibri" w:eastAsia="Times New Roman" w:hAnsi="Calibri" w:cs="Kalimati" w:hint="cs"/>
          <w:sz w:val="24"/>
          <w:szCs w:val="24"/>
          <w:cs/>
        </w:rPr>
        <w:t>२०४८ को दफा २९ (ख) बमोजिम उक्त विगो जफत तथा असुल उपर हुन</w:t>
      </w:r>
      <w:r w:rsidRPr="0004362B">
        <w:rPr>
          <w:rFonts w:ascii="Kokila" w:hAnsi="Kokila" w:cs="Kalimati"/>
          <w:sz w:val="24"/>
          <w:szCs w:val="24"/>
          <w:cs/>
        </w:rPr>
        <w:t xml:space="preserve"> </w:t>
      </w:r>
      <w:r w:rsidRPr="0004362B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04362B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04362B">
        <w:rPr>
          <w:rFonts w:ascii="Kokila" w:hAnsi="Kokila" w:cs="Kalimati" w:hint="cs"/>
          <w:sz w:val="24"/>
          <w:szCs w:val="24"/>
          <w:cs/>
        </w:rPr>
        <w:t>ई</w:t>
      </w:r>
      <w:r w:rsidRPr="0004362B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04362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04362B">
        <w:rPr>
          <w:rFonts w:ascii="Kokila" w:hAnsi="Kokila" w:cs="Kalimati" w:hint="cs"/>
          <w:sz w:val="24"/>
          <w:szCs w:val="24"/>
          <w:cs/>
        </w:rPr>
        <w:t>१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04362B">
        <w:rPr>
          <w:rFonts w:ascii="Kokila" w:hAnsi="Kokila" w:cs="Kalimati" w:hint="cs"/>
          <w:sz w:val="24"/>
          <w:szCs w:val="24"/>
          <w:cs/>
        </w:rPr>
        <w:t>०९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04362B">
        <w:rPr>
          <w:rFonts w:ascii="Kokila" w:hAnsi="Kokila" w:cs="Kalimati" w:hint="cs"/>
          <w:sz w:val="24"/>
          <w:szCs w:val="24"/>
          <w:cs/>
        </w:rPr>
        <w:t>०२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04362B">
        <w:rPr>
          <w:rFonts w:ascii="Kokila" w:hAnsi="Kokila" w:cs="Kalimati" w:hint="cs"/>
          <w:sz w:val="24"/>
          <w:szCs w:val="24"/>
          <w:cs/>
        </w:rPr>
        <w:t xml:space="preserve"> 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04362B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04362B">
        <w:rPr>
          <w:rFonts w:ascii="Kokila" w:hAnsi="Kokila" w:cs="Kalimati" w:hint="cs"/>
          <w:sz w:val="24"/>
          <w:szCs w:val="24"/>
          <w:cs/>
        </w:rPr>
        <w:t>८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04362B">
        <w:rPr>
          <w:rFonts w:ascii="Kokila" w:hAnsi="Kokila" w:cs="Kalimati" w:hint="cs"/>
          <w:sz w:val="24"/>
          <w:szCs w:val="24"/>
          <w:cs/>
        </w:rPr>
        <w:t>१४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04362B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04362B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04362B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04362B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04362B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E51CF2" w:rsidRDefault="00E51CF2" w:rsidP="00E51CF2">
      <w:pPr>
        <w:pStyle w:val="ListParagraph"/>
        <w:spacing w:line="240" w:lineRule="auto"/>
        <w:ind w:left="0" w:firstLine="450"/>
        <w:jc w:val="both"/>
        <w:rPr>
          <w:rFonts w:ascii="Times New Roman" w:eastAsia="Times New Roman" w:hAnsi="Times New Roman" w:cs="Kalimati"/>
          <w:szCs w:val="22"/>
        </w:rPr>
      </w:pP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15" w:rsidRDefault="003F3B15" w:rsidP="005C6A14">
      <w:pPr>
        <w:spacing w:after="0" w:line="240" w:lineRule="auto"/>
      </w:pPr>
      <w:r>
        <w:separator/>
      </w:r>
    </w:p>
  </w:endnote>
  <w:endnote w:type="continuationSeparator" w:id="0">
    <w:p w:rsidR="003F3B15" w:rsidRDefault="003F3B15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15" w:rsidRDefault="003F3B15" w:rsidP="005C6A14">
      <w:pPr>
        <w:spacing w:after="0" w:line="240" w:lineRule="auto"/>
      </w:pPr>
      <w:r>
        <w:separator/>
      </w:r>
    </w:p>
  </w:footnote>
  <w:footnote w:type="continuationSeparator" w:id="0">
    <w:p w:rsidR="003F3B15" w:rsidRDefault="003F3B15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3F3B15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4B0B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62B5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18</cp:revision>
  <cp:lastPrinted>2025-11-30T10:51:00Z</cp:lastPrinted>
  <dcterms:created xsi:type="dcterms:W3CDTF">2025-11-25T10:14:00Z</dcterms:created>
  <dcterms:modified xsi:type="dcterms:W3CDTF">2025-11-30T10:51:00Z</dcterms:modified>
</cp:coreProperties>
</file>