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2812F0">
        <w:rPr>
          <w:rFonts w:ascii="Kokila" w:hAnsi="Kokila" w:cs="Kokila" w:hint="cs"/>
          <w:sz w:val="36"/>
          <w:szCs w:val="36"/>
          <w:cs/>
        </w:rPr>
        <w:t>२४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2812F0">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2812F0" w:rsidRDefault="002812F0" w:rsidP="002812F0">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गरी भ्रष्टाचार गरेको सम्बन्धी मुद्दामा आयोगको निर्णय अनुसार मिति २०८०।०६।२४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bookmarkStart w:id="0" w:name="_GoBack"/>
      <w:bookmarkEnd w:id="0"/>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Y="40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350"/>
        <w:gridCol w:w="990"/>
        <w:gridCol w:w="1620"/>
        <w:gridCol w:w="3600"/>
        <w:gridCol w:w="7200"/>
      </w:tblGrid>
      <w:tr w:rsidR="002812F0" w:rsidRPr="002812F0" w:rsidTr="00C365AE">
        <w:trPr>
          <w:trHeight w:val="440"/>
        </w:trPr>
        <w:tc>
          <w:tcPr>
            <w:tcW w:w="468" w:type="dxa"/>
            <w:shd w:val="clear" w:color="auto" w:fill="auto"/>
          </w:tcPr>
          <w:p w:rsidR="002812F0" w:rsidRPr="002812F0" w:rsidRDefault="002812F0" w:rsidP="002812F0">
            <w:pPr>
              <w:tabs>
                <w:tab w:val="left" w:pos="3181"/>
              </w:tabs>
              <w:spacing w:line="240" w:lineRule="auto"/>
              <w:ind w:right="-198"/>
              <w:jc w:val="center"/>
              <w:rPr>
                <w:rFonts w:eastAsia="Times New Roman" w:cs="Kalimati"/>
                <w:b/>
                <w:bCs/>
                <w:sz w:val="19"/>
                <w:szCs w:val="19"/>
              </w:rPr>
            </w:pPr>
            <w:r w:rsidRPr="002812F0">
              <w:rPr>
                <w:rFonts w:eastAsia="Times New Roman" w:cs="Kalimati" w:hint="cs"/>
                <w:b/>
                <w:bCs/>
                <w:sz w:val="19"/>
                <w:szCs w:val="19"/>
                <w:cs/>
              </w:rPr>
              <w:t>सि.नं.</w:t>
            </w:r>
          </w:p>
        </w:tc>
        <w:tc>
          <w:tcPr>
            <w:tcW w:w="1350" w:type="dxa"/>
            <w:shd w:val="clear" w:color="auto" w:fill="auto"/>
          </w:tcPr>
          <w:p w:rsidR="002812F0" w:rsidRPr="002812F0" w:rsidRDefault="002812F0" w:rsidP="002812F0">
            <w:pPr>
              <w:tabs>
                <w:tab w:val="left" w:pos="3181"/>
              </w:tabs>
              <w:spacing w:line="240" w:lineRule="auto"/>
              <w:jc w:val="center"/>
              <w:rPr>
                <w:rFonts w:eastAsia="Times New Roman" w:cs="Kalimati"/>
                <w:b/>
                <w:bCs/>
                <w:sz w:val="19"/>
                <w:szCs w:val="19"/>
              </w:rPr>
            </w:pPr>
            <w:r w:rsidRPr="002812F0">
              <w:rPr>
                <w:rFonts w:eastAsia="Times New Roman" w:cs="Kalimati"/>
                <w:b/>
                <w:bCs/>
                <w:sz w:val="19"/>
                <w:szCs w:val="19"/>
                <w:cs/>
              </w:rPr>
              <w:t>प्र</w:t>
            </w:r>
            <w:r w:rsidRPr="002812F0">
              <w:rPr>
                <w:rFonts w:eastAsia="Times New Roman" w:cs="Kalimati" w:hint="cs"/>
                <w:b/>
                <w:bCs/>
                <w:sz w:val="19"/>
                <w:szCs w:val="19"/>
                <w:cs/>
              </w:rPr>
              <w:t>तिवादी</w:t>
            </w:r>
            <w:r w:rsidRPr="002812F0">
              <w:rPr>
                <w:rFonts w:eastAsia="Times New Roman" w:cs="Kalimati"/>
                <w:b/>
                <w:bCs/>
                <w:sz w:val="19"/>
                <w:szCs w:val="19"/>
                <w:cs/>
              </w:rPr>
              <w:t>हरु</w:t>
            </w:r>
          </w:p>
        </w:tc>
        <w:tc>
          <w:tcPr>
            <w:tcW w:w="990" w:type="dxa"/>
          </w:tcPr>
          <w:p w:rsidR="002812F0" w:rsidRPr="002812F0" w:rsidRDefault="002812F0" w:rsidP="002812F0">
            <w:pPr>
              <w:tabs>
                <w:tab w:val="left" w:pos="3181"/>
              </w:tabs>
              <w:spacing w:line="240" w:lineRule="auto"/>
              <w:jc w:val="center"/>
              <w:rPr>
                <w:rFonts w:eastAsia="Times New Roman" w:cs="Kalimati"/>
                <w:b/>
                <w:bCs/>
                <w:sz w:val="19"/>
                <w:szCs w:val="19"/>
                <w:cs/>
              </w:rPr>
            </w:pPr>
            <w:r w:rsidRPr="002812F0">
              <w:rPr>
                <w:rFonts w:eastAsia="Times New Roman" w:cs="Kalimati" w:hint="cs"/>
                <w:b/>
                <w:bCs/>
                <w:sz w:val="19"/>
                <w:szCs w:val="19"/>
                <w:cs/>
              </w:rPr>
              <w:t>मुद्दा</w:t>
            </w:r>
          </w:p>
        </w:tc>
        <w:tc>
          <w:tcPr>
            <w:tcW w:w="1620" w:type="dxa"/>
            <w:shd w:val="clear" w:color="auto" w:fill="auto"/>
          </w:tcPr>
          <w:p w:rsidR="002812F0" w:rsidRPr="002812F0" w:rsidRDefault="002812F0" w:rsidP="002812F0">
            <w:pPr>
              <w:tabs>
                <w:tab w:val="left" w:pos="3181"/>
              </w:tabs>
              <w:spacing w:line="240" w:lineRule="auto"/>
              <w:jc w:val="center"/>
              <w:rPr>
                <w:rFonts w:eastAsia="Times New Roman" w:cs="Kalimati"/>
                <w:b/>
                <w:bCs/>
                <w:sz w:val="19"/>
                <w:szCs w:val="19"/>
              </w:rPr>
            </w:pPr>
            <w:r w:rsidRPr="002812F0">
              <w:rPr>
                <w:rFonts w:eastAsia="Times New Roman" w:cs="Kalimati" w:hint="cs"/>
                <w:b/>
                <w:bCs/>
                <w:sz w:val="19"/>
                <w:szCs w:val="19"/>
                <w:cs/>
              </w:rPr>
              <w:t>आयोगकोमागदावी</w:t>
            </w:r>
          </w:p>
        </w:tc>
        <w:tc>
          <w:tcPr>
            <w:tcW w:w="3600" w:type="dxa"/>
            <w:shd w:val="clear" w:color="auto" w:fill="auto"/>
          </w:tcPr>
          <w:p w:rsidR="002812F0" w:rsidRPr="002812F0" w:rsidRDefault="002812F0" w:rsidP="002812F0">
            <w:pPr>
              <w:tabs>
                <w:tab w:val="left" w:pos="3181"/>
              </w:tabs>
              <w:spacing w:line="240" w:lineRule="auto"/>
              <w:jc w:val="center"/>
              <w:rPr>
                <w:rFonts w:eastAsia="Times New Roman" w:cs="Kalimati"/>
                <w:b/>
                <w:bCs/>
                <w:sz w:val="19"/>
                <w:szCs w:val="19"/>
              </w:rPr>
            </w:pPr>
            <w:r w:rsidRPr="002812F0">
              <w:rPr>
                <w:rFonts w:eastAsia="Times New Roman" w:cs="Kalimati" w:hint="cs"/>
                <w:b/>
                <w:bCs/>
                <w:sz w:val="19"/>
                <w:szCs w:val="19"/>
                <w:cs/>
              </w:rPr>
              <w:t>विशेष अदालतको फैसला र आधार</w:t>
            </w:r>
          </w:p>
        </w:tc>
        <w:tc>
          <w:tcPr>
            <w:tcW w:w="7200" w:type="dxa"/>
            <w:shd w:val="clear" w:color="auto" w:fill="auto"/>
          </w:tcPr>
          <w:p w:rsidR="002812F0" w:rsidRPr="002812F0" w:rsidRDefault="002812F0" w:rsidP="002812F0">
            <w:pPr>
              <w:tabs>
                <w:tab w:val="left" w:pos="3181"/>
              </w:tabs>
              <w:spacing w:line="240" w:lineRule="auto"/>
              <w:jc w:val="center"/>
              <w:rPr>
                <w:rFonts w:eastAsia="Times New Roman" w:cs="Kalimati"/>
                <w:b/>
                <w:bCs/>
                <w:sz w:val="19"/>
                <w:szCs w:val="19"/>
              </w:rPr>
            </w:pPr>
            <w:r w:rsidRPr="002812F0">
              <w:rPr>
                <w:rFonts w:eastAsia="Times New Roman" w:cs="Kalimati" w:hint="cs"/>
                <w:b/>
                <w:bCs/>
                <w:sz w:val="19"/>
                <w:szCs w:val="19"/>
                <w:cs/>
              </w:rPr>
              <w:t>आयोगवाट सम्मानित सर्वोच्च अदालतमा पुनरावेदन गरिएका आधारहरु</w:t>
            </w:r>
          </w:p>
        </w:tc>
      </w:tr>
      <w:tr w:rsidR="002812F0" w:rsidRPr="002812F0" w:rsidTr="00C365AE">
        <w:trPr>
          <w:trHeight w:val="137"/>
        </w:trPr>
        <w:tc>
          <w:tcPr>
            <w:tcW w:w="468" w:type="dxa"/>
            <w:shd w:val="clear" w:color="auto" w:fill="auto"/>
          </w:tcPr>
          <w:p w:rsidR="002812F0" w:rsidRPr="002812F0" w:rsidRDefault="002812F0" w:rsidP="002812F0">
            <w:pPr>
              <w:numPr>
                <w:ilvl w:val="0"/>
                <w:numId w:val="1"/>
              </w:numPr>
              <w:tabs>
                <w:tab w:val="left" w:pos="3181"/>
              </w:tabs>
              <w:spacing w:after="0" w:line="240" w:lineRule="auto"/>
              <w:ind w:hanging="738"/>
              <w:rPr>
                <w:rFonts w:eastAsia="Times New Roman" w:cs="Kalimati"/>
                <w:sz w:val="19"/>
                <w:szCs w:val="19"/>
              </w:rPr>
            </w:pPr>
          </w:p>
        </w:tc>
        <w:tc>
          <w:tcPr>
            <w:tcW w:w="1350" w:type="dxa"/>
            <w:shd w:val="clear" w:color="auto" w:fill="auto"/>
          </w:tcPr>
          <w:p w:rsidR="002812F0" w:rsidRPr="0052229D" w:rsidRDefault="002812F0" w:rsidP="002812F0">
            <w:pPr>
              <w:spacing w:after="0" w:line="240" w:lineRule="auto"/>
              <w:rPr>
                <w:rFonts w:ascii="Times New Roman" w:eastAsiaTheme="minorEastAsia" w:hAnsi="Times New Roman" w:cs="Kalimati"/>
                <w:cs/>
              </w:rPr>
            </w:pPr>
            <w:r w:rsidRPr="0052229D">
              <w:rPr>
                <w:rFonts w:asciiTheme="minorHAnsi" w:eastAsiaTheme="minorEastAsia" w:hAnsiTheme="minorHAnsi" w:cs="Kalimati" w:hint="cs"/>
                <w:sz w:val="20"/>
                <w:cs/>
              </w:rPr>
              <w:t>प्र.चन्द्रनारायण यादव र राधा कुमारी यादव</w:t>
            </w:r>
            <w:r w:rsidRPr="0052229D">
              <w:rPr>
                <w:rFonts w:ascii="Times New Roman" w:eastAsiaTheme="minorEastAsia" w:hAnsi="Times New Roman" w:cs="Kalimati"/>
                <w:cs/>
              </w:rPr>
              <w:t xml:space="preserve"> (वि.अ. को मु.नं. </w:t>
            </w:r>
            <w:r w:rsidRPr="0052229D">
              <w:rPr>
                <w:rFonts w:ascii="Preeti" w:eastAsiaTheme="minorEastAsia" w:hAnsi="Preeti" w:cs="Kalimati" w:hint="cs"/>
                <w:cs/>
              </w:rPr>
              <w:t>०७६-</w:t>
            </w:r>
            <w:r w:rsidRPr="0052229D">
              <w:rPr>
                <w:rFonts w:ascii="Mangal" w:eastAsiaTheme="minorEastAsia" w:hAnsi="Mangal" w:cs="Kalimati"/>
              </w:rPr>
              <w:t>CR-</w:t>
            </w:r>
            <w:r w:rsidRPr="0052229D">
              <w:rPr>
                <w:rFonts w:ascii="Preeti" w:eastAsiaTheme="minorEastAsia" w:hAnsi="Preeti" w:cs="Kalimati" w:hint="cs"/>
                <w:cs/>
              </w:rPr>
              <w:t>0४२१</w:t>
            </w:r>
            <w:r w:rsidRPr="0052229D">
              <w:rPr>
                <w:rFonts w:ascii="Times New Roman" w:eastAsiaTheme="minorEastAsia" w:hAnsi="Times New Roman" w:cs="Kalimati" w:hint="cs"/>
                <w:cs/>
              </w:rPr>
              <w:t>)</w:t>
            </w:r>
            <w:r w:rsidRPr="0052229D">
              <w:rPr>
                <w:rFonts w:ascii="Times New Roman" w:eastAsiaTheme="minorEastAsia" w:hAnsi="Times New Roman" w:cs="Kalimati"/>
                <w:cs/>
              </w:rPr>
              <w:t>, वि.अ. को फैसला मिति २०७९।</w:t>
            </w:r>
            <w:r w:rsidRPr="0052229D">
              <w:rPr>
                <w:rFonts w:ascii="Times New Roman" w:eastAsiaTheme="minorEastAsia" w:hAnsi="Times New Roman" w:cs="Kalimati" w:hint="cs"/>
                <w:cs/>
              </w:rPr>
              <w:t>1२</w:t>
            </w:r>
            <w:r w:rsidRPr="0052229D">
              <w:rPr>
                <w:rFonts w:ascii="Times New Roman" w:eastAsiaTheme="minorEastAsia" w:hAnsi="Times New Roman" w:cs="Kalimati"/>
                <w:cs/>
              </w:rPr>
              <w:t>।</w:t>
            </w:r>
            <w:r w:rsidRPr="0052229D">
              <w:rPr>
                <w:rFonts w:ascii="Times New Roman" w:eastAsiaTheme="minorEastAsia" w:hAnsi="Times New Roman" w:cs="Kalimati" w:hint="cs"/>
                <w:cs/>
              </w:rPr>
              <w:t>१</w:t>
            </w:r>
            <w:r w:rsidRPr="0052229D">
              <w:rPr>
                <w:rFonts w:ascii="Times New Roman" w:eastAsiaTheme="minorEastAsia" w:hAnsi="Times New Roman" w:cs="Kalimati"/>
                <w:cs/>
              </w:rPr>
              <w:t>)</w:t>
            </w:r>
          </w:p>
        </w:tc>
        <w:tc>
          <w:tcPr>
            <w:tcW w:w="990" w:type="dxa"/>
          </w:tcPr>
          <w:p w:rsidR="002812F0" w:rsidRPr="002812F0" w:rsidRDefault="002812F0" w:rsidP="002812F0">
            <w:pPr>
              <w:spacing w:after="120" w:line="240" w:lineRule="auto"/>
              <w:rPr>
                <w:rFonts w:eastAsia="Times New Roman" w:cs="Kalimati"/>
                <w:sz w:val="19"/>
                <w:szCs w:val="19"/>
              </w:rPr>
            </w:pPr>
            <w:r w:rsidRPr="002812F0">
              <w:rPr>
                <w:rFonts w:ascii="Times New Roman" w:eastAsiaTheme="minorEastAsia" w:hAnsi="Times New Roman" w:cs="Kalimati"/>
                <w:cs/>
              </w:rPr>
              <w:t>गैरकानुनी रुपमा सम्पत्ति आर्जन गर</w:t>
            </w:r>
            <w:r w:rsidRPr="002812F0">
              <w:rPr>
                <w:rFonts w:ascii="Times New Roman" w:eastAsiaTheme="minorEastAsia" w:hAnsi="Times New Roman" w:cs="Kalimati" w:hint="cs"/>
                <w:cs/>
              </w:rPr>
              <w:t>ी</w:t>
            </w:r>
            <w:r w:rsidRPr="002812F0">
              <w:rPr>
                <w:rFonts w:ascii="Times New Roman" w:eastAsiaTheme="minorEastAsia" w:hAnsi="Times New Roman" w:cs="Kalimati"/>
                <w:cs/>
              </w:rPr>
              <w:t xml:space="preserve"> भ्रष्टाचार गरेको।</w:t>
            </w:r>
          </w:p>
        </w:tc>
        <w:tc>
          <w:tcPr>
            <w:tcW w:w="1620" w:type="dxa"/>
            <w:shd w:val="clear" w:color="auto" w:fill="auto"/>
          </w:tcPr>
          <w:p w:rsidR="002812F0" w:rsidRPr="002812F0" w:rsidRDefault="002812F0" w:rsidP="002812F0">
            <w:pPr>
              <w:spacing w:line="240" w:lineRule="auto"/>
              <w:rPr>
                <w:rFonts w:asciiTheme="minorHAnsi" w:eastAsia="Times New Roman" w:hAnsiTheme="minorHAnsi" w:cs="Kalimati"/>
                <w:sz w:val="20"/>
              </w:rPr>
            </w:pPr>
            <w:r w:rsidRPr="002812F0">
              <w:rPr>
                <w:rFonts w:ascii="Times New Roman" w:eastAsiaTheme="minorEastAsia" w:hAnsi="Times New Roman" w:cs="Kalimati" w:hint="cs"/>
                <w:cs/>
              </w:rPr>
              <w:t xml:space="preserve">प्रतिवादीहरु उपर </w:t>
            </w:r>
            <w:r w:rsidRPr="002812F0">
              <w:rPr>
                <w:rFonts w:ascii="Times New Roman" w:eastAsiaTheme="minorEastAsia" w:hAnsi="Times New Roman" w:cs="Kalimati"/>
                <w:cs/>
              </w:rPr>
              <w:t>साविक भ्रष्टाचार निवारण ऐन</w:t>
            </w:r>
            <w:r w:rsidRPr="002812F0">
              <w:rPr>
                <w:rFonts w:ascii="Times New Roman" w:eastAsiaTheme="minorEastAsia" w:hAnsi="Times New Roman" w:cs="Kalimati"/>
              </w:rPr>
              <w:t xml:space="preserve">¸ </w:t>
            </w:r>
            <w:r w:rsidRPr="002812F0">
              <w:rPr>
                <w:rFonts w:ascii="Times New Roman" w:eastAsiaTheme="minorEastAsia" w:hAnsi="Times New Roman" w:cs="Kalimati"/>
                <w:cs/>
              </w:rPr>
              <w:t>२०१७ को दफा ३</w:t>
            </w:r>
            <w:r w:rsidRPr="002812F0">
              <w:rPr>
                <w:rFonts w:ascii="Times New Roman" w:eastAsiaTheme="minorEastAsia" w:hAnsi="Times New Roman" w:cs="Kalimati"/>
              </w:rPr>
              <w:t xml:space="preserve">¸ </w:t>
            </w:r>
            <w:r w:rsidRPr="002812F0">
              <w:rPr>
                <w:rFonts w:ascii="Times New Roman" w:eastAsiaTheme="minorEastAsia" w:hAnsi="Times New Roman" w:cs="Kalimati"/>
                <w:cs/>
              </w:rPr>
              <w:t>१६ ग.</w:t>
            </w:r>
            <w:r w:rsidRPr="002812F0">
              <w:rPr>
                <w:rFonts w:ascii="Times New Roman" w:eastAsiaTheme="minorEastAsia" w:hAnsi="Times New Roman" w:cs="Kalimati"/>
              </w:rPr>
              <w:t xml:space="preserve">, </w:t>
            </w:r>
            <w:r w:rsidRPr="002812F0">
              <w:rPr>
                <w:rFonts w:ascii="Times New Roman" w:eastAsiaTheme="minorEastAsia" w:hAnsi="Times New Roman" w:cs="Kalimati"/>
                <w:cs/>
              </w:rPr>
              <w:t>दफा २९ को उपदफा (१) र प्रचलित भ्रष्टाचार निवारण ऐन</w:t>
            </w:r>
            <w:r w:rsidRPr="002812F0">
              <w:rPr>
                <w:rFonts w:ascii="Times New Roman" w:eastAsiaTheme="minorEastAsia" w:hAnsi="Times New Roman" w:cs="Kalimati"/>
              </w:rPr>
              <w:t xml:space="preserve">¸ </w:t>
            </w:r>
            <w:r w:rsidRPr="002812F0">
              <w:rPr>
                <w:rFonts w:ascii="Times New Roman" w:eastAsiaTheme="minorEastAsia" w:hAnsi="Times New Roman" w:cs="Kalimati"/>
                <w:cs/>
              </w:rPr>
              <w:t>२०५९ को दफा ४७ तथा अख्तियार दुरुपयोग अनुसन्धान आयोग ऐन</w:t>
            </w:r>
            <w:r w:rsidRPr="002812F0">
              <w:rPr>
                <w:rFonts w:ascii="Times New Roman" w:eastAsiaTheme="minorEastAsia" w:hAnsi="Times New Roman" w:cs="Kalimati"/>
              </w:rPr>
              <w:t xml:space="preserve">¸ </w:t>
            </w:r>
            <w:r w:rsidRPr="002812F0">
              <w:rPr>
                <w:rFonts w:ascii="Times New Roman" w:eastAsiaTheme="minorEastAsia" w:hAnsi="Times New Roman" w:cs="Kalimati"/>
                <w:cs/>
              </w:rPr>
              <w:t>२०४८ को दफा २९ ख. बमोजिम असुल उपर/जफत गरी पाउन</w:t>
            </w:r>
            <w:r w:rsidRPr="002812F0">
              <w:rPr>
                <w:rFonts w:ascii="Times New Roman" w:eastAsiaTheme="minorEastAsia" w:hAnsi="Times New Roman" w:cs="Kalimati"/>
              </w:rPr>
              <w:t xml:space="preserve"> </w:t>
            </w:r>
            <w:r w:rsidRPr="002812F0">
              <w:rPr>
                <w:rFonts w:ascii="Times New Roman" w:eastAsiaTheme="minorEastAsia" w:hAnsi="Times New Roman" w:cs="Kalimati" w:hint="cs"/>
                <w:cs/>
              </w:rPr>
              <w:t>मागदाबी लिइएको।</w:t>
            </w:r>
          </w:p>
        </w:tc>
        <w:tc>
          <w:tcPr>
            <w:tcW w:w="3600" w:type="dxa"/>
            <w:shd w:val="clear" w:color="auto" w:fill="auto"/>
          </w:tcPr>
          <w:p w:rsidR="002812F0" w:rsidRPr="002812F0" w:rsidRDefault="002812F0" w:rsidP="002812F0">
            <w:pPr>
              <w:spacing w:after="0" w:line="240" w:lineRule="auto"/>
              <w:jc w:val="both"/>
              <w:rPr>
                <w:rFonts w:ascii="Times New Roman" w:eastAsia="Times New Roman" w:hAnsi="Times New Roman" w:cs="Kalimati"/>
                <w:b/>
                <w:bCs/>
                <w:sz w:val="19"/>
                <w:szCs w:val="19"/>
                <w:u w:val="single"/>
              </w:rPr>
            </w:pPr>
            <w:r w:rsidRPr="002812F0">
              <w:rPr>
                <w:rFonts w:ascii="Times New Roman" w:eastAsia="Times New Roman" w:hAnsi="Times New Roman" w:cs="Kalimati" w:hint="cs"/>
                <w:b/>
                <w:bCs/>
                <w:sz w:val="19"/>
                <w:szCs w:val="19"/>
                <w:u w:val="single"/>
                <w:cs/>
              </w:rPr>
              <w:t>फैसलाः</w:t>
            </w:r>
          </w:p>
          <w:p w:rsidR="002812F0" w:rsidRPr="002812F0" w:rsidRDefault="002812F0" w:rsidP="002812F0">
            <w:pPr>
              <w:spacing w:after="0" w:line="240" w:lineRule="auto"/>
              <w:jc w:val="both"/>
              <w:rPr>
                <w:rFonts w:ascii="Times New Roman" w:eastAsia="Times New Roman" w:hAnsi="Times New Roman" w:cs="Kalimati"/>
                <w:sz w:val="20"/>
              </w:rPr>
            </w:pPr>
            <w:r w:rsidRPr="002812F0">
              <w:rPr>
                <w:rFonts w:ascii="Times New Roman" w:eastAsia="Times New Roman" w:hAnsi="Times New Roman" w:cs="Kalimati" w:hint="cs"/>
                <w:sz w:val="20"/>
                <w:cs/>
              </w:rPr>
              <w:t>आरोप मागदावीबाट पूर्ण सफाई।</w:t>
            </w:r>
          </w:p>
          <w:p w:rsidR="002812F0" w:rsidRPr="002812F0" w:rsidRDefault="002812F0" w:rsidP="002812F0">
            <w:pPr>
              <w:spacing w:after="0" w:line="240" w:lineRule="auto"/>
              <w:jc w:val="both"/>
              <w:rPr>
                <w:rFonts w:ascii="Times New Roman" w:eastAsia="Times New Roman" w:hAnsi="Times New Roman" w:cs="Kalimati"/>
                <w:b/>
                <w:bCs/>
                <w:sz w:val="19"/>
                <w:szCs w:val="19"/>
                <w:u w:val="single"/>
              </w:rPr>
            </w:pPr>
            <w:r w:rsidRPr="002812F0">
              <w:rPr>
                <w:rFonts w:ascii="Times New Roman" w:eastAsia="Times New Roman" w:hAnsi="Times New Roman" w:cs="Kalimati" w:hint="cs"/>
                <w:b/>
                <w:bCs/>
                <w:sz w:val="19"/>
                <w:szCs w:val="19"/>
                <w:u w:val="single"/>
                <w:cs/>
              </w:rPr>
              <w:t>विशेष अदालतले फैसला गर्दा लिएका आधारः</w:t>
            </w:r>
          </w:p>
          <w:p w:rsidR="002812F0" w:rsidRPr="002812F0" w:rsidRDefault="002812F0" w:rsidP="002812F0">
            <w:pPr>
              <w:numPr>
                <w:ilvl w:val="0"/>
                <w:numId w:val="46"/>
              </w:numPr>
              <w:tabs>
                <w:tab w:val="left" w:pos="1080"/>
              </w:tabs>
              <w:spacing w:line="240" w:lineRule="auto"/>
              <w:ind w:left="162" w:hanging="180"/>
              <w:contextualSpacing/>
              <w:jc w:val="both"/>
              <w:rPr>
                <w:rFonts w:cs="Kalimati"/>
                <w:sz w:val="20"/>
              </w:rPr>
            </w:pPr>
            <w:r w:rsidRPr="002812F0">
              <w:rPr>
                <w:rFonts w:cs="Kalimati" w:hint="cs"/>
                <w:sz w:val="20"/>
                <w:cs/>
              </w:rPr>
              <w:t xml:space="preserve">प्रतिवादीको सम्पत्तिको जाँच अवधिको समग्र आय व्ययको अध्ययन गर्दा प्रतिवादी चन्द्रनारायण यादव समेतको समग्र आय जम्मा रु.1,48,92,236।74 कायम भएको, </w:t>
            </w:r>
          </w:p>
          <w:p w:rsidR="002812F0" w:rsidRPr="002812F0" w:rsidRDefault="002812F0" w:rsidP="002812F0">
            <w:pPr>
              <w:numPr>
                <w:ilvl w:val="0"/>
                <w:numId w:val="46"/>
              </w:numPr>
              <w:tabs>
                <w:tab w:val="left" w:pos="1080"/>
              </w:tabs>
              <w:spacing w:line="240" w:lineRule="auto"/>
              <w:ind w:left="162" w:hanging="180"/>
              <w:contextualSpacing/>
              <w:jc w:val="both"/>
              <w:rPr>
                <w:rFonts w:cs="Kalimati"/>
                <w:sz w:val="20"/>
              </w:rPr>
            </w:pPr>
            <w:r w:rsidRPr="002812F0">
              <w:rPr>
                <w:rFonts w:cs="Kalimati" w:hint="cs"/>
                <w:sz w:val="20"/>
                <w:cs/>
              </w:rPr>
              <w:t xml:space="preserve">प्रतिवादीको सम्पत्तिको जाँच अवधिको समग्र आय व्ययको अध्ययन गर्दा प्रतिवादी चन्द्रनारायण यादव समेतको समग्र व्यय जम्मा रु.1,55,98,177।30 कायम भएको, </w:t>
            </w:r>
          </w:p>
          <w:p w:rsidR="002812F0" w:rsidRPr="002812F0" w:rsidRDefault="002812F0" w:rsidP="002812F0">
            <w:pPr>
              <w:numPr>
                <w:ilvl w:val="0"/>
                <w:numId w:val="46"/>
              </w:numPr>
              <w:tabs>
                <w:tab w:val="left" w:pos="1080"/>
              </w:tabs>
              <w:spacing w:line="240" w:lineRule="auto"/>
              <w:ind w:left="162" w:hanging="180"/>
              <w:contextualSpacing/>
              <w:jc w:val="both"/>
              <w:rPr>
                <w:rFonts w:cs="Kalimati"/>
                <w:sz w:val="20"/>
              </w:rPr>
            </w:pPr>
            <w:r w:rsidRPr="002812F0">
              <w:rPr>
                <w:rFonts w:cs="Kalimati" w:hint="cs"/>
                <w:sz w:val="20"/>
                <w:cs/>
              </w:rPr>
              <w:t>नेपालको हकमा आयस्रोतबाट पुष्टि भएभन्दा बढीको सम्पत्ति देखिएकोमा कुल समत्तिको ५ प्रतिशत भन्दा कम रहेको अवस्थामा आय र व्यय बीच देखिएको अन्तर स्वभाविक नै मान्नु पर्ने सर्वोच्च अदालतबाट प्रतिपादित सिद्धान्तको आधारमा प्रतिवादीको सम्पत्ति आय भन्दा जम्मा ४.53% मात्र बढी देखिदा प्रतिवादी चन्द्रनारायण यादवले दावीको कसुर गरेको भन्न मिल्ने नदेखिएको।</w:t>
            </w:r>
          </w:p>
          <w:p w:rsidR="002812F0" w:rsidRPr="002812F0" w:rsidRDefault="002812F0" w:rsidP="002812F0">
            <w:pPr>
              <w:tabs>
                <w:tab w:val="left" w:pos="1080"/>
              </w:tabs>
              <w:spacing w:line="240" w:lineRule="auto"/>
              <w:ind w:left="-18"/>
              <w:jc w:val="both"/>
              <w:rPr>
                <w:rFonts w:asciiTheme="minorHAnsi" w:eastAsiaTheme="minorEastAsia" w:hAnsiTheme="minorHAnsi" w:cs="Kalimati"/>
                <w:sz w:val="24"/>
                <w:szCs w:val="24"/>
              </w:rPr>
            </w:pPr>
          </w:p>
        </w:tc>
        <w:tc>
          <w:tcPr>
            <w:tcW w:w="7200" w:type="dxa"/>
            <w:shd w:val="clear" w:color="auto" w:fill="auto"/>
          </w:tcPr>
          <w:p w:rsidR="002812F0" w:rsidRPr="002812F0" w:rsidRDefault="002812F0" w:rsidP="002812F0">
            <w:pPr>
              <w:numPr>
                <w:ilvl w:val="0"/>
                <w:numId w:val="23"/>
              </w:numPr>
              <w:spacing w:after="0" w:line="240" w:lineRule="auto"/>
              <w:ind w:left="152" w:hanging="152"/>
              <w:contextualSpacing/>
              <w:jc w:val="both"/>
              <w:rPr>
                <w:rFonts w:cs="Kalimati"/>
                <w:sz w:val="20"/>
              </w:rPr>
            </w:pPr>
            <w:r w:rsidRPr="002812F0">
              <w:rPr>
                <w:rFonts w:cs="Kalimati" w:hint="cs"/>
                <w:sz w:val="20"/>
                <w:cs/>
              </w:rPr>
              <w:t>प्रचलित कानुनी व्यवस्था तथा सम्मानित सर्वोच्च अदालतबाट प्रतिपादित सिद्धान्तको प्रतिकुल हुने गरी अदालताट थप आय कायम गरिएको रु. 46,17,452।74 बराबरको रकम थप आयमा कायम गर्न मिल्ने अवस्था नरहँदा थप आय कायम गरी गरेको उक्त फैसला त्रटिपूर्ण रहेको,</w:t>
            </w:r>
            <w:r w:rsidRPr="002812F0">
              <w:rPr>
                <w:rFonts w:cs="Kalimati"/>
                <w:sz w:val="20"/>
                <w:cs/>
              </w:rPr>
              <w:t xml:space="preserve"> </w:t>
            </w:r>
          </w:p>
          <w:p w:rsidR="002812F0" w:rsidRPr="002812F0" w:rsidRDefault="002812F0" w:rsidP="002812F0">
            <w:pPr>
              <w:numPr>
                <w:ilvl w:val="0"/>
                <w:numId w:val="23"/>
              </w:numPr>
              <w:spacing w:after="0" w:line="240" w:lineRule="auto"/>
              <w:ind w:left="152" w:hanging="152"/>
              <w:contextualSpacing/>
              <w:jc w:val="both"/>
              <w:rPr>
                <w:rFonts w:cs="Kalimati"/>
                <w:sz w:val="20"/>
              </w:rPr>
            </w:pPr>
            <w:r w:rsidRPr="002812F0">
              <w:rPr>
                <w:rFonts w:cs="Kalimati"/>
                <w:sz w:val="20"/>
                <w:cs/>
              </w:rPr>
              <w:t>आय</w:t>
            </w:r>
            <w:r w:rsidRPr="002812F0">
              <w:rPr>
                <w:rFonts w:cs="Kalimati"/>
                <w:sz w:val="20"/>
              </w:rPr>
              <w:t xml:space="preserve"> </w:t>
            </w:r>
            <w:r w:rsidRPr="002812F0">
              <w:rPr>
                <w:rFonts w:cs="Kalimati" w:hint="cs"/>
                <w:sz w:val="20"/>
                <w:cs/>
              </w:rPr>
              <w:t xml:space="preserve"> </w:t>
            </w:r>
            <w:r w:rsidRPr="002812F0">
              <w:rPr>
                <w:rFonts w:cs="Kalimati"/>
                <w:sz w:val="20"/>
                <w:cs/>
              </w:rPr>
              <w:t>भन्नाले</w:t>
            </w:r>
            <w:r w:rsidRPr="002812F0">
              <w:rPr>
                <w:rFonts w:cs="Kalimati" w:hint="cs"/>
                <w:sz w:val="20"/>
                <w:cs/>
              </w:rPr>
              <w:t xml:space="preserve"> </w:t>
            </w:r>
            <w:r w:rsidRPr="002812F0">
              <w:rPr>
                <w:rFonts w:cs="Kalimati"/>
                <w:sz w:val="20"/>
                <w:cs/>
              </w:rPr>
              <w:t>कुनै</w:t>
            </w:r>
            <w:r w:rsidRPr="002812F0">
              <w:rPr>
                <w:rFonts w:cs="Kalimati" w:hint="cs"/>
                <w:sz w:val="20"/>
                <w:cs/>
              </w:rPr>
              <w:t xml:space="preserve"> </w:t>
            </w:r>
            <w:r w:rsidRPr="002812F0">
              <w:rPr>
                <w:rFonts w:cs="Kalimati"/>
                <w:sz w:val="20"/>
                <w:cs/>
              </w:rPr>
              <w:t>व्य</w:t>
            </w:r>
            <w:r w:rsidRPr="002812F0">
              <w:rPr>
                <w:rFonts w:cs="Kalimati" w:hint="cs"/>
                <w:sz w:val="20"/>
                <w:cs/>
              </w:rPr>
              <w:t>क्ति</w:t>
            </w:r>
            <w:r w:rsidRPr="002812F0">
              <w:rPr>
                <w:rFonts w:cs="Kalimati"/>
                <w:sz w:val="20"/>
                <w:cs/>
              </w:rPr>
              <w:t>ले</w:t>
            </w:r>
            <w:r w:rsidRPr="002812F0">
              <w:rPr>
                <w:rFonts w:cs="Kalimati" w:hint="cs"/>
                <w:sz w:val="20"/>
                <w:cs/>
              </w:rPr>
              <w:t xml:space="preserve"> </w:t>
            </w:r>
            <w:r w:rsidRPr="002812F0">
              <w:rPr>
                <w:rFonts w:cs="Kalimati"/>
                <w:sz w:val="20"/>
                <w:cs/>
              </w:rPr>
              <w:t>रोजगारी</w:t>
            </w:r>
            <w:r w:rsidRPr="002812F0">
              <w:rPr>
                <w:rFonts w:cs="Kalimati"/>
                <w:sz w:val="20"/>
              </w:rPr>
              <w:t xml:space="preserve">, </w:t>
            </w:r>
            <w:r w:rsidRPr="002812F0">
              <w:rPr>
                <w:rFonts w:cs="Kalimati"/>
                <w:sz w:val="20"/>
                <w:cs/>
              </w:rPr>
              <w:t>व्यवसाय</w:t>
            </w:r>
            <w:r w:rsidRPr="002812F0">
              <w:rPr>
                <w:rFonts w:cs="Kalimati"/>
                <w:sz w:val="20"/>
              </w:rPr>
              <w:t xml:space="preserve">, </w:t>
            </w:r>
            <w:r w:rsidRPr="002812F0">
              <w:rPr>
                <w:rFonts w:cs="Kalimati"/>
                <w:sz w:val="20"/>
                <w:cs/>
              </w:rPr>
              <w:t xml:space="preserve">लगानी वा </w:t>
            </w:r>
            <w:r w:rsidRPr="002812F0">
              <w:rPr>
                <w:rFonts w:cs="Kalimati" w:hint="cs"/>
                <w:sz w:val="20"/>
                <w:cs/>
              </w:rPr>
              <w:t>आकस्मिक</w:t>
            </w:r>
            <w:r w:rsidRPr="002812F0">
              <w:rPr>
                <w:rFonts w:cs="Kalimati"/>
                <w:sz w:val="20"/>
              </w:rPr>
              <w:t xml:space="preserve"> </w:t>
            </w:r>
            <w:r w:rsidRPr="002812F0">
              <w:rPr>
                <w:rFonts w:cs="Kalimati"/>
                <w:sz w:val="20"/>
                <w:cs/>
              </w:rPr>
              <w:t xml:space="preserve">लाभबाट प्राप्त गरेको आय सम्झनु </w:t>
            </w:r>
            <w:r w:rsidRPr="002812F0">
              <w:rPr>
                <w:rFonts w:cs="Kalimati" w:hint="cs"/>
                <w:sz w:val="20"/>
                <w:cs/>
              </w:rPr>
              <w:t>पर्छ</w:t>
            </w:r>
            <w:r w:rsidRPr="002812F0">
              <w:rPr>
                <w:rFonts w:cs="Kalimati"/>
                <w:sz w:val="20"/>
                <w:cs/>
              </w:rPr>
              <w:t xml:space="preserve"> र सो </w:t>
            </w:r>
            <w:r w:rsidRPr="002812F0">
              <w:rPr>
                <w:rFonts w:cs="Kalimati" w:hint="cs"/>
                <w:sz w:val="20"/>
                <w:cs/>
              </w:rPr>
              <w:t>श</w:t>
            </w:r>
            <w:r w:rsidRPr="002812F0">
              <w:rPr>
                <w:rFonts w:cs="Kalimati"/>
                <w:sz w:val="20"/>
                <w:cs/>
              </w:rPr>
              <w:t>ब्दले यस ऐन</w:t>
            </w:r>
            <w:r w:rsidRPr="002812F0">
              <w:rPr>
                <w:rFonts w:cs="Kalimati"/>
                <w:sz w:val="20"/>
              </w:rPr>
              <w:t xml:space="preserve"> </w:t>
            </w:r>
            <w:r w:rsidRPr="002812F0">
              <w:rPr>
                <w:rFonts w:cs="Kalimati"/>
                <w:sz w:val="20"/>
                <w:cs/>
              </w:rPr>
              <w:t>बम</w:t>
            </w:r>
            <w:r w:rsidRPr="002812F0">
              <w:rPr>
                <w:rFonts w:cs="Kalimati" w:hint="cs"/>
                <w:sz w:val="20"/>
                <w:cs/>
              </w:rPr>
              <w:t>ो</w:t>
            </w:r>
            <w:r w:rsidRPr="002812F0">
              <w:rPr>
                <w:rFonts w:cs="Kalimati"/>
                <w:sz w:val="20"/>
                <w:cs/>
              </w:rPr>
              <w:t>ज</w:t>
            </w:r>
            <w:r w:rsidRPr="002812F0">
              <w:rPr>
                <w:rFonts w:cs="Kalimati" w:hint="cs"/>
                <w:sz w:val="20"/>
                <w:cs/>
              </w:rPr>
              <w:t>ि</w:t>
            </w:r>
            <w:r w:rsidRPr="002812F0">
              <w:rPr>
                <w:rFonts w:cs="Kalimati"/>
                <w:sz w:val="20"/>
                <w:cs/>
              </w:rPr>
              <w:t>म गणना गर</w:t>
            </w:r>
            <w:r w:rsidRPr="002812F0">
              <w:rPr>
                <w:rFonts w:cs="Kalimati" w:hint="cs"/>
                <w:sz w:val="20"/>
                <w:cs/>
              </w:rPr>
              <w:t>ि</w:t>
            </w:r>
            <w:r w:rsidRPr="002812F0">
              <w:rPr>
                <w:rFonts w:cs="Kalimati"/>
                <w:sz w:val="20"/>
                <w:cs/>
              </w:rPr>
              <w:t>एको सो आयको कुल रकमलाई समेत जना</w:t>
            </w:r>
            <w:r w:rsidRPr="002812F0">
              <w:rPr>
                <w:rFonts w:cs="Kalimati" w:hint="cs"/>
                <w:sz w:val="20"/>
                <w:cs/>
              </w:rPr>
              <w:t>ँउ</w:t>
            </w:r>
            <w:r w:rsidRPr="002812F0">
              <w:rPr>
                <w:rFonts w:cs="Kalimati"/>
                <w:sz w:val="20"/>
                <w:cs/>
              </w:rPr>
              <w:t>छ</w:t>
            </w:r>
            <w:r w:rsidRPr="002812F0">
              <w:rPr>
                <w:sz w:val="20"/>
                <w:vertAlign w:val="superscript"/>
                <w:cs/>
              </w:rPr>
              <w:footnoteReference w:id="1"/>
            </w:r>
            <w:r w:rsidRPr="002812F0">
              <w:rPr>
                <w:rFonts w:hint="cs"/>
                <w:sz w:val="20"/>
                <w:vertAlign w:val="superscript"/>
                <w:cs/>
              </w:rPr>
              <w:t xml:space="preserve"> </w:t>
            </w:r>
            <w:r w:rsidRPr="002812F0">
              <w:rPr>
                <w:rFonts w:cs="Kalimati" w:hint="cs"/>
                <w:sz w:val="20"/>
                <w:cs/>
              </w:rPr>
              <w:t>भनी परिभाषित गरेको पाइन्छ</w:t>
            </w:r>
            <w:r w:rsidRPr="002812F0">
              <w:rPr>
                <w:rFonts w:cs="Kalimati"/>
                <w:sz w:val="20"/>
                <w:cs/>
              </w:rPr>
              <w:t xml:space="preserve">। </w:t>
            </w:r>
            <w:r w:rsidRPr="002812F0">
              <w:rPr>
                <w:rFonts w:cs="Kalimati" w:hint="cs"/>
                <w:sz w:val="20"/>
                <w:cs/>
              </w:rPr>
              <w:t>तर अदालतवाट प्रतिवादीहरुलाई अभियोग मागदावीवाट सफाई दिने मनसायले आयमा गणना गर्नै नमिल्ने प्रकृतिका दशै खर्च वापतको रकम, अनुमानको आधारमा कायम गरिएको कृषि आयको रकम, स्रोत नखुलेको सम्पत्तिबाट निर्मित घरवाट प्राप्त हुन आएको घर वाहल वापतको रकम तथा स्रोत नखुलेको बैंकमा मौज्दात रहेको रकमको व्याज वापत प्राप्त रकम, बिबाहित छोरीको पारिश्रमिक वापतको रकम जस्ता शिर्षकमा थप आय कायम गरिएको,</w:t>
            </w:r>
          </w:p>
          <w:p w:rsidR="002812F0" w:rsidRPr="002812F0" w:rsidRDefault="002812F0" w:rsidP="002812F0">
            <w:pPr>
              <w:numPr>
                <w:ilvl w:val="0"/>
                <w:numId w:val="23"/>
              </w:numPr>
              <w:spacing w:after="0" w:line="240" w:lineRule="auto"/>
              <w:ind w:left="152" w:hanging="152"/>
              <w:contextualSpacing/>
              <w:jc w:val="both"/>
              <w:rPr>
                <w:rFonts w:cs="Kalimati"/>
                <w:sz w:val="20"/>
              </w:rPr>
            </w:pPr>
            <w:r w:rsidRPr="002812F0">
              <w:rPr>
                <w:rFonts w:cs="Kalimati" w:hint="cs"/>
                <w:sz w:val="20"/>
                <w:cs/>
              </w:rPr>
              <w:t xml:space="preserve">वादी नेपाल सरकार विरुद्ध भरत प्रसाद नेपाल समेत भएको मुद्दामा </w:t>
            </w:r>
            <w:r w:rsidRPr="002812F0">
              <w:rPr>
                <w:rFonts w:cs="Kalimati"/>
                <w:sz w:val="20"/>
              </w:rPr>
              <w:t>“</w:t>
            </w:r>
            <w:r w:rsidRPr="002812F0">
              <w:rPr>
                <w:rFonts w:cs="Kalimati"/>
                <w:sz w:val="20"/>
                <w:cs/>
              </w:rPr>
              <w:t>बिगोमा कायम गरेको मिलेन भनेर जिकिर लिएर मात्र हुँदैन। स्पष्ट आधार र कारण देखाएर अदालतलाई विस्वस्त पार्नु पर्ने हुन्छ। यो दायित्व पुनरावेदक प्रतिवादीको नै हो</w:t>
            </w:r>
            <w:r w:rsidRPr="002812F0">
              <w:rPr>
                <w:rFonts w:cs="Kalimati"/>
                <w:sz w:val="20"/>
              </w:rPr>
              <w:t>”</w:t>
            </w:r>
            <w:r w:rsidRPr="002812F0">
              <w:rPr>
                <w:sz w:val="20"/>
                <w:vertAlign w:val="superscript"/>
              </w:rPr>
              <w:footnoteReference w:id="2"/>
            </w:r>
            <w:r w:rsidRPr="002812F0">
              <w:rPr>
                <w:rFonts w:cs="Kalimati"/>
                <w:sz w:val="20"/>
              </w:rPr>
              <w:t xml:space="preserve"> </w:t>
            </w:r>
            <w:r w:rsidRPr="002812F0">
              <w:rPr>
                <w:rFonts w:cs="Kalimati" w:hint="cs"/>
                <w:sz w:val="20"/>
                <w:cs/>
              </w:rPr>
              <w:t>भन्ने सिद्धान्त प्रतिपादन भएको,</w:t>
            </w:r>
          </w:p>
          <w:p w:rsidR="002812F0" w:rsidRPr="002812F0" w:rsidRDefault="002812F0" w:rsidP="002812F0">
            <w:pPr>
              <w:numPr>
                <w:ilvl w:val="0"/>
                <w:numId w:val="23"/>
              </w:numPr>
              <w:spacing w:after="0" w:line="240" w:lineRule="auto"/>
              <w:ind w:left="152" w:hanging="152"/>
              <w:contextualSpacing/>
              <w:jc w:val="both"/>
              <w:rPr>
                <w:rFonts w:cs="Kalimati"/>
                <w:sz w:val="20"/>
              </w:rPr>
            </w:pPr>
            <w:r w:rsidRPr="002812F0">
              <w:rPr>
                <w:rFonts w:cs="Kalimati" w:hint="cs"/>
                <w:sz w:val="20"/>
                <w:cs/>
              </w:rPr>
              <w:t xml:space="preserve">नेपाल सरकार विरुद्ध खुमबहादुर खड्का भएको मुद्दामा </w:t>
            </w:r>
            <w:r w:rsidRPr="002812F0">
              <w:rPr>
                <w:rFonts w:cs="Kalimati"/>
                <w:sz w:val="20"/>
                <w:cs/>
              </w:rPr>
              <w:t xml:space="preserve">निक्षेपबाट बढेबढाएको ब्याज रकमलाई सम्पत्तिको मान्यता दिई विगो कायम गर्न तथा आय स्रोतका रुपमा छुट्टै मान्यता प्रदान गर्न नमिली निक्षेप रकमको स्रोत पुष्टि भएमा सोबाट बढेबढाएको ब्याजको पनि स्वतः स्रोत पुष्टि हुने तथा स्रोत पुष्टि नभएको विगोको रुपमा रहने </w:t>
            </w:r>
            <w:r w:rsidRPr="002812F0">
              <w:rPr>
                <w:rFonts w:cs="Kalimati" w:hint="cs"/>
                <w:sz w:val="20"/>
                <w:cs/>
              </w:rPr>
              <w:t>र</w:t>
            </w:r>
            <w:r w:rsidRPr="002812F0">
              <w:rPr>
                <w:rFonts w:cs="Kalimati"/>
                <w:sz w:val="20"/>
                <w:cs/>
              </w:rPr>
              <w:t xml:space="preserve"> सोबाट बढेबढाएको सम्पत्ति समेत स्वतः गैरकानूनी भई जफतसम्म हुने</w:t>
            </w:r>
            <w:r w:rsidRPr="002812F0">
              <w:rPr>
                <w:rFonts w:cs="Kalimati"/>
                <w:sz w:val="20"/>
              </w:rPr>
              <w:t> </w:t>
            </w:r>
            <w:r w:rsidRPr="002812F0">
              <w:rPr>
                <w:rFonts w:cs="Kalimati"/>
                <w:sz w:val="20"/>
                <w:cs/>
              </w:rPr>
              <w:t>।</w:t>
            </w:r>
            <w:r w:rsidRPr="002812F0">
              <w:rPr>
                <w:sz w:val="20"/>
                <w:vertAlign w:val="superscript"/>
                <w:cs/>
              </w:rPr>
              <w:footnoteReference w:id="3"/>
            </w:r>
            <w:r w:rsidRPr="002812F0">
              <w:rPr>
                <w:rFonts w:cs="Kalimati" w:hint="cs"/>
                <w:sz w:val="20"/>
                <w:cs/>
              </w:rPr>
              <w:t xml:space="preserve"> भनी सिद्धान्त प्रतिपादन भएकोमा उक्त सिद्धान्तको प्रतिकुल हुने गरी स्रोत नखुलेको रकम रु.35,50,000।</w:t>
            </w:r>
            <w:r w:rsidRPr="002812F0">
              <w:rPr>
                <w:rFonts w:cs="Kalimati"/>
                <w:sz w:val="20"/>
                <w:cs/>
              </w:rPr>
              <w:t>–</w:t>
            </w:r>
            <w:r w:rsidRPr="002812F0">
              <w:rPr>
                <w:rFonts w:cs="Kalimati" w:hint="cs"/>
                <w:sz w:val="20"/>
                <w:cs/>
              </w:rPr>
              <w:t xml:space="preserve"> रुपैयाँलाई व्यय कायम नगरेको कार्य त्रुटीपूर्ण रहेको,</w:t>
            </w:r>
          </w:p>
          <w:p w:rsidR="002812F0" w:rsidRPr="002812F0" w:rsidRDefault="002812F0" w:rsidP="002812F0">
            <w:pPr>
              <w:numPr>
                <w:ilvl w:val="0"/>
                <w:numId w:val="23"/>
              </w:numPr>
              <w:spacing w:after="0" w:line="240" w:lineRule="auto"/>
              <w:ind w:left="152" w:hanging="152"/>
              <w:contextualSpacing/>
              <w:jc w:val="both"/>
              <w:rPr>
                <w:rFonts w:eastAsia="Times New Roman" w:cs="Kalimati"/>
                <w:sz w:val="20"/>
              </w:rPr>
            </w:pPr>
            <w:r w:rsidRPr="002812F0">
              <w:rPr>
                <w:rFonts w:cs="Kalimati" w:hint="cs"/>
                <w:sz w:val="20"/>
                <w:cs/>
              </w:rPr>
              <w:t xml:space="preserve">प्रतिवादीहरूको बैधानिक आय र व्ययको अन्तर भन्दा बाँकी रकम ५% भन्दा कम रहेको अवस्थामा उक्त सिद्धान्त तथा मान्यता आकर्षित हुने भएता पनि प्रस्तुत मुद्दामा </w:t>
            </w:r>
            <w:r w:rsidRPr="002812F0">
              <w:rPr>
                <w:rFonts w:cs="Kalimati" w:hint="cs"/>
                <w:sz w:val="20"/>
                <w:cs/>
              </w:rPr>
              <w:lastRenderedPageBreak/>
              <w:t>उक्त सिद्धान्त तथा मान्यता आकर्षित हुने देखिदैन। यस मुद्दामा प्रतिवादीलाई आरोपमागदावीवाट सफाँई दिने मनसायले अनुमानको आधारमा कुनै तथ्य र प्रमाणको समर्थन बिनानै आय रकम बढाउने र व्यय रकम घटाउने कार्य गर्दा समेत प्रतिवादीको रु.7,05,940।56 (सात लाख पाच हजार नौ सय चालिस रुपैया छपन्न पैसा) बराबरको सम्पत्तिको अझै गैरकानुनी अर्थात स्रोत पुष्टि हुन सकेको अवस्था नरहेको।</w:t>
            </w:r>
          </w:p>
        </w:tc>
      </w:tr>
    </w:tbl>
    <w:p w:rsidR="00CB62CF" w:rsidRDefault="00CB62CF" w:rsidP="002812F0">
      <w:pPr>
        <w:spacing w:after="0"/>
        <w:rPr>
          <w:rFonts w:asciiTheme="minorHAnsi" w:eastAsiaTheme="minorEastAsia" w:hAnsiTheme="minorHAnsi" w:cstheme="minorBidi"/>
        </w:rPr>
      </w:pPr>
    </w:p>
    <w:sectPr w:rsid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7D" w:rsidRDefault="00C0347D" w:rsidP="005C6A14">
      <w:pPr>
        <w:spacing w:after="0" w:line="240" w:lineRule="auto"/>
      </w:pPr>
      <w:r>
        <w:separator/>
      </w:r>
    </w:p>
  </w:endnote>
  <w:endnote w:type="continuationSeparator" w:id="0">
    <w:p w:rsidR="00C0347D" w:rsidRDefault="00C0347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altName w:val="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7D" w:rsidRDefault="00C0347D" w:rsidP="005C6A14">
      <w:pPr>
        <w:spacing w:after="0" w:line="240" w:lineRule="auto"/>
      </w:pPr>
      <w:r>
        <w:separator/>
      </w:r>
    </w:p>
  </w:footnote>
  <w:footnote w:type="continuationSeparator" w:id="0">
    <w:p w:rsidR="00C0347D" w:rsidRDefault="00C0347D" w:rsidP="005C6A14">
      <w:pPr>
        <w:spacing w:after="0" w:line="240" w:lineRule="auto"/>
      </w:pPr>
      <w:r>
        <w:continuationSeparator/>
      </w:r>
    </w:p>
  </w:footnote>
  <w:footnote w:id="1">
    <w:p w:rsidR="002812F0" w:rsidRPr="00CA2985" w:rsidRDefault="002812F0" w:rsidP="002812F0">
      <w:pPr>
        <w:pStyle w:val="FootnoteText"/>
        <w:rPr>
          <w:sz w:val="14"/>
          <w:szCs w:val="14"/>
          <w:cs/>
        </w:rPr>
      </w:pPr>
      <w:r>
        <w:rPr>
          <w:rStyle w:val="FootnoteReference"/>
        </w:rPr>
        <w:footnoteRef/>
      </w:r>
      <w:r>
        <w:t xml:space="preserve"> </w:t>
      </w:r>
      <w:r>
        <w:rPr>
          <w:rFonts w:ascii="Arial" w:hAnsi="Arial" w:cs="Arial"/>
          <w:color w:val="000000"/>
          <w:spacing w:val="2"/>
          <w:sz w:val="22"/>
          <w:szCs w:val="22"/>
          <w:shd w:val="clear" w:color="auto" w:fill="F5F5F5"/>
        </w:rPr>
        <w:t> </w:t>
      </w:r>
      <w:r w:rsidRPr="00CA2985">
        <w:rPr>
          <w:rFonts w:ascii="Kokila" w:hAnsi="Kokila" w:cs="Kalimati"/>
          <w:sz w:val="18"/>
          <w:cs/>
        </w:rPr>
        <w:t>आयकर ऐन</w:t>
      </w:r>
      <w:r w:rsidRPr="00CA2985">
        <w:rPr>
          <w:rFonts w:ascii="Kokila" w:hAnsi="Kokila" w:cs="Kalimati"/>
          <w:sz w:val="18"/>
        </w:rPr>
        <w:t xml:space="preserve">, </w:t>
      </w:r>
      <w:r w:rsidRPr="00CA2985">
        <w:rPr>
          <w:rFonts w:ascii="Kokila" w:hAnsi="Kokila" w:cs="Kalimati"/>
          <w:sz w:val="18"/>
          <w:cs/>
        </w:rPr>
        <w:t>२०५८ (आर्थिक ऐन</w:t>
      </w:r>
      <w:r w:rsidRPr="00CA2985">
        <w:rPr>
          <w:rFonts w:ascii="Kokila" w:hAnsi="Kokila" w:cs="Kalimati"/>
          <w:sz w:val="18"/>
        </w:rPr>
        <w:t xml:space="preserve">, </w:t>
      </w:r>
      <w:r w:rsidRPr="00CA2985">
        <w:rPr>
          <w:rFonts w:ascii="Kokila" w:hAnsi="Kokila" w:cs="Kalimati"/>
          <w:sz w:val="18"/>
          <w:cs/>
        </w:rPr>
        <w:t>२०७९ को संशोधन सहित) को दफा २(ज)</w:t>
      </w:r>
    </w:p>
  </w:footnote>
  <w:footnote w:id="2">
    <w:p w:rsidR="002812F0" w:rsidRDefault="002812F0" w:rsidP="002812F0">
      <w:pPr>
        <w:pStyle w:val="FootnoteText"/>
        <w:rPr>
          <w:cs/>
        </w:rPr>
      </w:pPr>
      <w:r>
        <w:rPr>
          <w:rStyle w:val="FootnoteReference"/>
        </w:rPr>
        <w:footnoteRef/>
      </w:r>
      <w:r>
        <w:t xml:space="preserve"> </w:t>
      </w:r>
      <w:r w:rsidRPr="00DB33B6">
        <w:rPr>
          <w:rFonts w:ascii="Kokila" w:hAnsi="Kokila" w:cs="Kalimati" w:hint="cs"/>
          <w:sz w:val="22"/>
          <w:szCs w:val="22"/>
          <w:cs/>
        </w:rPr>
        <w:t>ने.का.प. २०७२ अंक ११, नि.नं. ९४९२</w:t>
      </w:r>
    </w:p>
  </w:footnote>
  <w:footnote w:id="3">
    <w:p w:rsidR="002812F0" w:rsidRDefault="002812F0" w:rsidP="002812F0">
      <w:pPr>
        <w:pStyle w:val="FootnoteText"/>
        <w:rPr>
          <w:cs/>
        </w:rPr>
      </w:pPr>
      <w:r>
        <w:rPr>
          <w:rStyle w:val="FootnoteReference"/>
        </w:rPr>
        <w:footnoteRef/>
      </w:r>
      <w:r>
        <w:t xml:space="preserve"> </w:t>
      </w:r>
      <w:r w:rsidRPr="00EF0BAA">
        <w:rPr>
          <w:rFonts w:ascii="Kokila" w:hAnsi="Kokila" w:cs="Kalimati" w:hint="cs"/>
          <w:sz w:val="22"/>
          <w:szCs w:val="22"/>
          <w:cs/>
        </w:rPr>
        <w:t>ने.का.प. 2069, अंक 5, नि.नं. 8832,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9">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2">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7"/>
  </w:num>
  <w:num w:numId="3">
    <w:abstractNumId w:val="6"/>
  </w:num>
  <w:num w:numId="4">
    <w:abstractNumId w:val="30"/>
  </w:num>
  <w:num w:numId="5">
    <w:abstractNumId w:val="43"/>
  </w:num>
  <w:num w:numId="6">
    <w:abstractNumId w:val="13"/>
  </w:num>
  <w:num w:numId="7">
    <w:abstractNumId w:val="23"/>
  </w:num>
  <w:num w:numId="8">
    <w:abstractNumId w:val="21"/>
  </w:num>
  <w:num w:numId="9">
    <w:abstractNumId w:val="39"/>
  </w:num>
  <w:num w:numId="10">
    <w:abstractNumId w:val="19"/>
  </w:num>
  <w:num w:numId="11">
    <w:abstractNumId w:val="17"/>
  </w:num>
  <w:num w:numId="12">
    <w:abstractNumId w:val="36"/>
  </w:num>
  <w:num w:numId="13">
    <w:abstractNumId w:val="2"/>
  </w:num>
  <w:num w:numId="14">
    <w:abstractNumId w:val="8"/>
  </w:num>
  <w:num w:numId="15">
    <w:abstractNumId w:val="26"/>
  </w:num>
  <w:num w:numId="16">
    <w:abstractNumId w:val="0"/>
  </w:num>
  <w:num w:numId="17">
    <w:abstractNumId w:val="3"/>
  </w:num>
  <w:num w:numId="18">
    <w:abstractNumId w:val="32"/>
  </w:num>
  <w:num w:numId="19">
    <w:abstractNumId w:val="16"/>
  </w:num>
  <w:num w:numId="20">
    <w:abstractNumId w:val="33"/>
  </w:num>
  <w:num w:numId="21">
    <w:abstractNumId w:val="29"/>
  </w:num>
  <w:num w:numId="22">
    <w:abstractNumId w:val="12"/>
  </w:num>
  <w:num w:numId="23">
    <w:abstractNumId w:val="24"/>
  </w:num>
  <w:num w:numId="24">
    <w:abstractNumId w:val="44"/>
  </w:num>
  <w:num w:numId="25">
    <w:abstractNumId w:val="10"/>
  </w:num>
  <w:num w:numId="26">
    <w:abstractNumId w:val="20"/>
  </w:num>
  <w:num w:numId="27">
    <w:abstractNumId w:val="37"/>
  </w:num>
  <w:num w:numId="28">
    <w:abstractNumId w:val="27"/>
  </w:num>
  <w:num w:numId="29">
    <w:abstractNumId w:val="5"/>
  </w:num>
  <w:num w:numId="30">
    <w:abstractNumId w:val="40"/>
  </w:num>
  <w:num w:numId="31">
    <w:abstractNumId w:val="42"/>
  </w:num>
  <w:num w:numId="32">
    <w:abstractNumId w:val="35"/>
  </w:num>
  <w:num w:numId="33">
    <w:abstractNumId w:val="25"/>
  </w:num>
  <w:num w:numId="34">
    <w:abstractNumId w:val="11"/>
  </w:num>
  <w:num w:numId="35">
    <w:abstractNumId w:val="18"/>
  </w:num>
  <w:num w:numId="36">
    <w:abstractNumId w:val="1"/>
  </w:num>
  <w:num w:numId="37">
    <w:abstractNumId w:val="22"/>
  </w:num>
  <w:num w:numId="38">
    <w:abstractNumId w:val="9"/>
  </w:num>
  <w:num w:numId="39">
    <w:abstractNumId w:val="31"/>
  </w:num>
  <w:num w:numId="40">
    <w:abstractNumId w:val="15"/>
  </w:num>
  <w:num w:numId="41">
    <w:abstractNumId w:val="45"/>
  </w:num>
  <w:num w:numId="42">
    <w:abstractNumId w:val="41"/>
  </w:num>
  <w:num w:numId="43">
    <w:abstractNumId w:val="28"/>
  </w:num>
  <w:num w:numId="44">
    <w:abstractNumId w:val="34"/>
  </w:num>
  <w:num w:numId="45">
    <w:abstractNumId w:val="14"/>
  </w:num>
  <w:num w:numId="4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241</cp:revision>
  <cp:lastPrinted>2023-10-11T11:04:00Z</cp:lastPrinted>
  <dcterms:created xsi:type="dcterms:W3CDTF">2022-11-15T06:40:00Z</dcterms:created>
  <dcterms:modified xsi:type="dcterms:W3CDTF">2023-10-11T11:04:00Z</dcterms:modified>
</cp:coreProperties>
</file>