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503771">
        <w:rPr>
          <w:rFonts w:ascii="Kokila" w:hAnsi="Kokila" w:cs="Kokila" w:hint="cs"/>
          <w:sz w:val="36"/>
          <w:szCs w:val="36"/>
          <w:cs/>
        </w:rPr>
        <w:t>१</w:t>
      </w:r>
      <w:r w:rsidR="00086524">
        <w:rPr>
          <w:rFonts w:ascii="Kokila" w:hAnsi="Kokila" w:cs="Kokila" w:hint="cs"/>
          <w:sz w:val="36"/>
          <w:szCs w:val="36"/>
          <w:cs/>
        </w:rPr>
        <w:t>६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086524">
        <w:rPr>
          <w:rFonts w:ascii="Kokila" w:hAnsi="Kokila" w:cs="Kalimati" w:hint="cs"/>
          <w:b/>
          <w:bCs/>
          <w:sz w:val="24"/>
          <w:szCs w:val="24"/>
          <w:cs/>
        </w:rPr>
        <w:t>भावना श्रेष्ठसमेत</w:t>
      </w:r>
      <w:r w:rsidR="006B7E4A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 </w:t>
      </w:r>
      <w:r w:rsidR="00086524">
        <w:rPr>
          <w:rFonts w:ascii="Kokila" w:hAnsi="Kokila" w:cs="Kalimati" w:hint="cs"/>
          <w:b/>
          <w:bCs/>
          <w:sz w:val="24"/>
          <w:szCs w:val="24"/>
          <w:cs/>
        </w:rPr>
        <w:t>घुस/रिसवत लिई दिई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BF5607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Pr="00503771">
        <w:rPr>
          <w:rFonts w:ascii="Kokila" w:hAnsi="Kokila" w:cs="Kalimati"/>
          <w:b/>
          <w:bCs/>
          <w:sz w:val="24"/>
          <w:szCs w:val="24"/>
          <w:u w:val="single"/>
          <w:cs/>
        </w:rPr>
        <w:t>सर्वोच्च अदालतमा पुनरावेदन</w:t>
      </w:r>
      <w:r w:rsidRPr="0050377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</w:t>
      </w:r>
      <w:r w:rsidRPr="006B7E4A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दर्ता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086524" w:rsidRPr="00422431" w:rsidRDefault="00086524" w:rsidP="00086524">
      <w:pPr>
        <w:pStyle w:val="11title"/>
        <w:spacing w:before="0" w:line="240" w:lineRule="auto"/>
        <w:ind w:left="0" w:firstLine="0"/>
        <w:rPr>
          <w:sz w:val="24"/>
          <w:szCs w:val="24"/>
        </w:rPr>
      </w:pPr>
      <w:bookmarkStart w:id="0" w:name="_GoBack"/>
      <w:bookmarkEnd w:id="0"/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अख्तियार दुरुपयोग अनुसन्धान आयोगबाट पोखरा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महानगरपालिका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कास्कीका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तत्कालीन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न्यायिक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समिति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सदस्य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एवं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पोखरा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महानगरपालिका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वडा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नं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९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वडा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सदस्य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भावना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श्रेष्ठ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समेतका प्रतिवादी उपर घुस/रिसवत लिए दिएकोले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भ्रष्टाचार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निवारण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ऐन</w:t>
      </w:r>
      <w:r w:rsidRPr="008C031E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२०५९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३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उपदफा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(1)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बमोजिमको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कसु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रमा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बिगो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रु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>.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२</w:t>
      </w:r>
      <w:r w:rsidRPr="008C031E">
        <w:rPr>
          <w:b w:val="0"/>
          <w:bCs w:val="0"/>
          <w:sz w:val="24"/>
          <w:szCs w:val="24"/>
          <w:u w:val="none"/>
          <w:lang w:val="da-DK"/>
        </w:rPr>
        <w:t>,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००</w:t>
      </w:r>
      <w:r w:rsidRPr="008C031E">
        <w:rPr>
          <w:b w:val="0"/>
          <w:bCs w:val="0"/>
          <w:sz w:val="24"/>
          <w:szCs w:val="24"/>
          <w:u w:val="none"/>
          <w:lang w:val="da-DK"/>
        </w:rPr>
        <w:t>,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०००।</w:t>
      </w:r>
      <w:r>
        <w:rPr>
          <w:b w:val="0"/>
          <w:bCs w:val="0"/>
          <w:sz w:val="24"/>
          <w:szCs w:val="24"/>
          <w:u w:val="none"/>
          <w:lang w:val="da-DK"/>
        </w:rPr>
        <w:t>–</w:t>
      </w:r>
      <w:r w:rsidRPr="008C031E">
        <w:rPr>
          <w:b w:val="0"/>
          <w:bCs w:val="0"/>
          <w:sz w:val="24"/>
          <w:szCs w:val="24"/>
          <w:u w:val="none"/>
          <w:lang w:val="da-DK"/>
        </w:rPr>
        <w:t xml:space="preserve">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(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दुई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लाख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रुपैयाँ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)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कायम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गरी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सोही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ऐनको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३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उपदफा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(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१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)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देहाय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(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घ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)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तथा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भ्रष्टाचार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निवारण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ऐन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>, 2059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>(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पहिलो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संशोधन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सहित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)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3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उपदफा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(1)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देहाय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(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ग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)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बमोजिम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कैद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र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भ्रष्टाचार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निवारण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ऐन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, 2059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3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उपदफा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(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१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)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बमोजिम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बिगोबमोजिम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जरिवाना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सजाय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गरी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लिइसकेको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घुस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>/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रिसवत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भ्रष्टाचार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निवारण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ऐन</w:t>
      </w:r>
      <w:r w:rsidRPr="008C031E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२०५९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३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उपदफा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(1)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तथा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भ्रष्टाचार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निवारण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ऐन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>, 2059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>(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पहिलो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संशोधन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सहित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)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३</w:t>
      </w:r>
      <w:r w:rsidRPr="008C031E">
        <w:rPr>
          <w:b w:val="0"/>
          <w:bCs w:val="0"/>
          <w:sz w:val="24"/>
          <w:szCs w:val="24"/>
          <w:u w:val="none"/>
          <w:lang w:val="da-DK"/>
        </w:rPr>
        <w:t> 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उपदफा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(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१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>)(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>)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b w:val="0"/>
          <w:bCs w:val="0"/>
          <w:sz w:val="24"/>
          <w:szCs w:val="24"/>
          <w:u w:val="none"/>
          <w:lang w:val="da-DK"/>
        </w:rPr>
        <w:t> 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बमोजिम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जफत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हुन</w:t>
      </w:r>
      <w:r w:rsidRPr="008C031E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समेतको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4F7823">
        <w:rPr>
          <w:rFonts w:hint="cs"/>
          <w:b w:val="0"/>
          <w:bCs w:val="0"/>
          <w:sz w:val="24"/>
          <w:szCs w:val="24"/>
          <w:u w:val="none"/>
          <w:cs/>
        </w:rPr>
        <w:t xml:space="preserve">मागदाबी लिई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विशेष अदालत</w:t>
      </w:r>
      <w:r w:rsidRPr="004F7823">
        <w:rPr>
          <w:rFonts w:ascii="Kokila" w:hAnsi="Kokila"/>
          <w:b w:val="0"/>
          <w:bCs w:val="0"/>
          <w:sz w:val="24"/>
          <w:szCs w:val="24"/>
          <w:u w:val="none"/>
        </w:rPr>
        <w:t xml:space="preserve">,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काठमाडौंमा आरोपपत्र दायर गरिएकोमा विशेष अदालतले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८२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९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३०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को फैसलाबाट सफाई दिएकोले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उल्लिखित फैसलाउपर चित्त नबुझी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२०८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१६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 xml:space="preserve"> गते 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सम्मानित सर्वोच्च अदालतमा पुनरावेदन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को निवेदन दर्ता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गर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ि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एको छ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</w:p>
    <w:p w:rsidR="00086524" w:rsidRPr="00422431" w:rsidRDefault="00086524" w:rsidP="00086524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10" w:rsidRDefault="00282F10" w:rsidP="005C6A14">
      <w:pPr>
        <w:spacing w:after="0" w:line="240" w:lineRule="auto"/>
      </w:pPr>
      <w:r>
        <w:separator/>
      </w:r>
    </w:p>
  </w:endnote>
  <w:endnote w:type="continuationSeparator" w:id="0">
    <w:p w:rsidR="00282F10" w:rsidRDefault="00282F10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10" w:rsidRDefault="00282F10" w:rsidP="005C6A14">
      <w:pPr>
        <w:spacing w:after="0" w:line="240" w:lineRule="auto"/>
      </w:pPr>
      <w:r>
        <w:separator/>
      </w:r>
    </w:p>
  </w:footnote>
  <w:footnote w:type="continuationSeparator" w:id="0">
    <w:p w:rsidR="00282F10" w:rsidRDefault="00282F10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88</cp:revision>
  <cp:lastPrinted>2026-04-29T10:22:00Z</cp:lastPrinted>
  <dcterms:created xsi:type="dcterms:W3CDTF">2025-03-21T08:10:00Z</dcterms:created>
  <dcterms:modified xsi:type="dcterms:W3CDTF">2026-04-29T10:22:00Z</dcterms:modified>
</cp:coreProperties>
</file>